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Lesson 3</w:t>
      </w:r>
      <w:r>
        <w:tab/>
      </w:r>
      <w:r>
        <w:t>Fractions, decimals and percentages 2</w:t>
      </w:r>
    </w:p>
    <w:p>
      <w:pPr>
        <w:pStyle w:val="3"/>
      </w:pPr>
      <w:r>
        <w:t>Oral and mental starter</w:t>
      </w:r>
      <w:r>
        <w:tab/>
      </w:r>
      <w:r>
        <w:t>15 minutes</w:t>
      </w:r>
    </w:p>
    <w:p>
      <w:pPr>
        <w:pStyle w:val="26"/>
        <w:rPr>
          <w:b/>
        </w:rPr>
      </w:pPr>
      <w:r>
        <w:rPr>
          <w:b/>
        </w:rPr>
        <w:t>Objectives</w:t>
      </w:r>
    </w:p>
    <w:p>
      <w:pPr>
        <w:pStyle w:val="26"/>
      </w:pPr>
      <w:r>
        <w:t>Calculate percentages and find the outcome of a given percentage increase or decrease (Y8)</w:t>
      </w:r>
    </w:p>
    <w:p>
      <w:pPr>
        <w:pStyle w:val="26"/>
        <w:rPr>
          <w:b/>
        </w:rPr>
      </w:pPr>
      <w:r>
        <w:rPr>
          <w:b/>
        </w:rPr>
        <w:t>Vocabulary</w:t>
      </w:r>
    </w:p>
    <w:p>
      <w:pPr>
        <w:pStyle w:val="26"/>
      </w:pPr>
      <w:r>
        <w:t>percentage increase, percentage decrease, partition</w:t>
      </w:r>
    </w:p>
    <w:p>
      <w:pPr>
        <w:pStyle w:val="26"/>
        <w:rPr>
          <w:b/>
        </w:rPr>
      </w:pPr>
      <w:r>
        <w:rPr>
          <w:b/>
        </w:rPr>
        <w:t>Resources</w:t>
      </w:r>
    </w:p>
    <w:p>
      <w:pPr>
        <w:pStyle w:val="26"/>
      </w:pPr>
      <w:r>
        <w:t>OHT of M3.1</w:t>
      </w:r>
    </w:p>
    <w:p>
      <w:pPr>
        <w:widowControl w:val="0"/>
        <w:autoSpaceDE w:val="0"/>
        <w:autoSpaceDN w:val="0"/>
        <w:adjustRightInd w:val="0"/>
      </w:pPr>
      <w:r>
        <w:t xml:space="preserve">Using the target board on </w:t>
      </w:r>
      <w:r>
        <w:rPr>
          <w:b/>
        </w:rPr>
        <w:t>OHT M3.1</w:t>
      </w:r>
      <w:r>
        <w:t>, ask pupils to calculate a percentage increase/decrease of one of the amounts. Invite them to explain how they arrived at their answers. Discuss their methods.</w:t>
      </w:r>
    </w:p>
    <w:p>
      <w:r>
        <w:t>Encourage pupils to use jottings, when appropriate, to record steps in their working.</w:t>
      </w:r>
    </w:p>
    <w:p>
      <w:pPr>
        <w:pStyle w:val="22"/>
      </w:pPr>
      <w:r>
        <w:rPr>
          <w:b/>
        </w:rPr>
        <w:t>Q</w:t>
      </w:r>
      <w:r>
        <w:tab/>
      </w:r>
      <w:r>
        <w:t>How did you work that out?</w:t>
      </w:r>
    </w:p>
    <w:p>
      <w:pPr>
        <w:pStyle w:val="22"/>
      </w:pPr>
      <w:r>
        <w:rPr>
          <w:b/>
        </w:rPr>
        <w:t>Q</w:t>
      </w:r>
      <w:r>
        <w:tab/>
      </w:r>
      <w:r>
        <w:t>How did you partition 35%?</w:t>
      </w:r>
    </w:p>
    <w:p>
      <w:pPr>
        <w:widowControl w:val="0"/>
        <w:autoSpaceDE w:val="0"/>
        <w:autoSpaceDN w:val="0"/>
        <w:adjustRightInd w:val="0"/>
      </w:pPr>
      <w:r>
        <w:t>As preparation for the main teaching, ask:</w:t>
      </w:r>
    </w:p>
    <w:p>
      <w:pPr>
        <w:pStyle w:val="22"/>
      </w:pPr>
      <w:r>
        <w:rPr>
          <w:b/>
        </w:rPr>
        <w:t>Q</w:t>
      </w:r>
      <w:r>
        <w:tab/>
      </w:r>
      <w:r>
        <w:t>If you increase an amount by 15%, what percentage of the original will you then have?</w:t>
      </w:r>
      <w:r>
        <w:br w:type="textWrapping"/>
      </w:r>
      <w:r>
        <w:br w:type="textWrapping"/>
      </w:r>
    </w:p>
    <w:p>
      <w:pPr>
        <w:pStyle w:val="3"/>
      </w:pPr>
      <w:r>
        <w:t>Main teaching</w:t>
      </w:r>
      <w:r>
        <w:tab/>
      </w:r>
      <w:r>
        <w:t>30 minutes</w:t>
      </w:r>
    </w:p>
    <w:p>
      <w:pPr>
        <w:pStyle w:val="26"/>
        <w:rPr>
          <w:b/>
        </w:rPr>
      </w:pPr>
      <w:r>
        <w:rPr>
          <w:b/>
        </w:rPr>
        <w:t xml:space="preserve">Objectives </w:t>
      </w:r>
    </w:p>
    <w:p>
      <w:pPr>
        <w:pStyle w:val="26"/>
      </w:pPr>
      <w:r>
        <w:t>Calculate percentages and find the outcome of a given percentage increase or decrease (Y8, 9)</w:t>
      </w:r>
    </w:p>
    <w:p>
      <w:pPr>
        <w:pStyle w:val="26"/>
        <w:rPr>
          <w:b/>
        </w:rPr>
      </w:pPr>
      <w:r>
        <w:rPr>
          <w:b/>
        </w:rPr>
        <w:t>Vocabulary</w:t>
      </w:r>
    </w:p>
    <w:p>
      <w:pPr>
        <w:pStyle w:val="26"/>
      </w:pPr>
      <w:r>
        <w:t>percentage increase, percentage decrease</w:t>
      </w:r>
    </w:p>
    <w:p>
      <w:pPr>
        <w:pStyle w:val="26"/>
        <w:rPr>
          <w:b/>
        </w:rPr>
      </w:pPr>
      <w:r>
        <w:rPr>
          <w:b/>
        </w:rPr>
        <w:t>Resources</w:t>
      </w:r>
    </w:p>
    <w:p>
      <w:pPr>
        <w:pStyle w:val="26"/>
      </w:pPr>
      <w:r>
        <w:t>Objects (e.g. pencils)</w:t>
      </w:r>
      <w:r>
        <w:br w:type="textWrapping"/>
      </w:r>
      <w:r>
        <w:t>Whiteboards (if available)</w:t>
      </w:r>
      <w:r>
        <w:br w:type="textWrapping"/>
      </w:r>
      <w:r>
        <w:t>OHP calculator</w:t>
      </w:r>
      <w:r>
        <w:br w:type="textWrapping"/>
      </w:r>
      <w:r>
        <w:t>Calculators for pupils</w:t>
      </w:r>
      <w:r>
        <w:br w:type="textWrapping"/>
      </w:r>
      <w:r>
        <w:t>OHT of M3.2</w:t>
      </w:r>
    </w:p>
    <w:p>
      <w:pPr>
        <w:widowControl w:val="0"/>
        <w:autoSpaceDE w:val="0"/>
        <w:autoSpaceDN w:val="0"/>
        <w:adjustRightInd w:val="0"/>
      </w:pPr>
      <w:r>
        <w:t xml:space="preserve">Discuss examples involving whole numbers of objects, using statements such as: </w:t>
      </w:r>
    </w:p>
    <w:p>
      <w:pPr>
        <w:pStyle w:val="22"/>
      </w:pPr>
      <w:r>
        <w:rPr>
          <w:b/>
        </w:rPr>
        <w:t>Q</w:t>
      </w:r>
      <w:r>
        <w:tab/>
      </w:r>
      <w:r>
        <w:t>If something increases by 100%, it doubles. What percentage do you then have?</w:t>
      </w:r>
    </w:p>
    <w:p>
      <w:pPr>
        <w:pStyle w:val="22"/>
      </w:pPr>
      <w:r>
        <w:rPr>
          <w:b/>
        </w:rPr>
        <w:t>Q</w:t>
      </w:r>
      <w:r>
        <w:tab/>
      </w:r>
      <w:r>
        <w:t>How can you describe an increase by 500%?</w:t>
      </w:r>
    </w:p>
    <w:p>
      <w:pPr>
        <w:widowControl w:val="0"/>
        <w:autoSpaceDE w:val="0"/>
        <w:autoSpaceDN w:val="0"/>
        <w:adjustRightInd w:val="0"/>
      </w:pPr>
      <w:r>
        <w:t xml:space="preserve">Demonstrate this pictorially or with real objects. You need to explain that you have the original 100% </w:t>
      </w:r>
      <w:r>
        <w:rPr>
          <w:i/>
        </w:rPr>
        <w:t>plus</w:t>
      </w:r>
      <w:r>
        <w:t xml:space="preserve"> the increase of 500%.</w:t>
      </w:r>
    </w:p>
    <w:p>
      <w:pPr>
        <w:widowControl w:val="0"/>
        <w:autoSpaceDE w:val="0"/>
        <w:autoSpaceDN w:val="0"/>
        <w:adjustRightInd w:val="0"/>
      </w:pPr>
      <w:r>
        <w:t>Model an increase of 10%. Demonstrate that this results in a total of 110%: 100% can be represented by 10 pencils, so 1 pencil represents 10% and the new amount, 11 pencils, is 110%.</w:t>
      </w:r>
    </w:p>
    <w:p>
      <w:pPr>
        <w:pStyle w:val="22"/>
      </w:pPr>
      <w:r>
        <w:rPr>
          <w:b/>
        </w:rPr>
        <w:t>Q</w:t>
      </w:r>
      <w:r>
        <w:tab/>
      </w:r>
      <w:r>
        <w:t xml:space="preserve">How do you write 110% as a decimal?   </w:t>
      </w:r>
    </w:p>
    <w:p>
      <w:pPr>
        <w:widowControl w:val="0"/>
        <w:autoSpaceDE w:val="0"/>
        <w:autoSpaceDN w:val="0"/>
        <w:adjustRightInd w:val="0"/>
      </w:pPr>
      <w:r>
        <w:t>Model a decrease of 10%. Demonstrate that this leads to 90%: 10 pencils represent 100%, so 1 pencil represents 10%; the new amount of 9 pencils represents 90%.</w:t>
      </w:r>
    </w:p>
    <w:p>
      <w:pPr>
        <w:pStyle w:val="22"/>
      </w:pPr>
      <w:r>
        <w:rPr>
          <w:b/>
        </w:rPr>
        <w:t>Q</w:t>
      </w:r>
      <w:r>
        <w:tab/>
      </w:r>
      <w:r>
        <w:t>How do you write 90% as a decimal?</w:t>
      </w:r>
    </w:p>
    <w:p>
      <w:pPr>
        <w:widowControl w:val="0"/>
        <w:autoSpaceDE w:val="0"/>
        <w:autoSpaceDN w:val="0"/>
        <w:adjustRightInd w:val="0"/>
      </w:pPr>
      <w:r>
        <w:t>Repeat this with another example, such as a 20% increase/decrease.</w:t>
      </w:r>
    </w:p>
    <w:p>
      <w:pPr>
        <w:widowControl w:val="0"/>
        <w:autoSpaceDE w:val="0"/>
        <w:autoSpaceDN w:val="0"/>
        <w:adjustRightInd w:val="0"/>
      </w:pPr>
      <w:r>
        <w:t>Use a set of short questions to assess whether pupils can generalise these results.</w:t>
      </w:r>
    </w:p>
    <w:p>
      <w:pPr>
        <w:pStyle w:val="22"/>
      </w:pPr>
      <w:r>
        <w:rPr>
          <w:b/>
        </w:rPr>
        <w:t>Q</w:t>
      </w:r>
      <w:r>
        <w:tab/>
      </w:r>
      <w:r>
        <w:t xml:space="preserve">If something increases by 15%, what percentage of the original amount do you then have? (Check that pupils have written 115% on their whiteboards.) </w:t>
      </w:r>
      <w:r>
        <w:br w:type="textWrapping"/>
      </w:r>
      <w:r>
        <w:t>How do you write that as a decimal?</w:t>
      </w:r>
    </w:p>
    <w:p>
      <w:pPr>
        <w:widowControl w:val="0"/>
        <w:autoSpaceDE w:val="0"/>
        <w:autoSpaceDN w:val="0"/>
        <w:adjustRightInd w:val="0"/>
      </w:pPr>
      <w:r>
        <w:t>Repeat this with a decrease of 35%. Pupils write 65% to represent the final amount.</w:t>
      </w:r>
    </w:p>
    <w:p>
      <w:pPr>
        <w:pStyle w:val="22"/>
      </w:pPr>
      <w:r>
        <w:rPr>
          <w:b/>
        </w:rPr>
        <w:t>Q</w:t>
      </w:r>
      <w:r>
        <w:tab/>
      </w:r>
      <w:r>
        <w:t>How do you write this as a decimal?</w:t>
      </w:r>
    </w:p>
    <w:p>
      <w:pPr>
        <w:widowControl w:val="0"/>
        <w:autoSpaceDE w:val="0"/>
        <w:autoSpaceDN w:val="0"/>
        <w:adjustRightInd w:val="0"/>
      </w:pPr>
      <w:r>
        <w:t>Extend to decreasing £450 by 17%. Recap how to calculate 83% of £450, using the OHP calculator (see lesson 2).</w:t>
      </w:r>
    </w:p>
    <w:p>
      <w:pPr>
        <w:pStyle w:val="22"/>
      </w:pPr>
      <w:r>
        <w:rPr>
          <w:b/>
        </w:rPr>
        <w:t>Q</w:t>
      </w:r>
      <w:r>
        <w:tab/>
      </w:r>
      <w:r>
        <w:t>How would you increase £450 by 17%?</w:t>
      </w:r>
    </w:p>
    <w:p>
      <w:pPr>
        <w:widowControl w:val="0"/>
        <w:autoSpaceDE w:val="0"/>
        <w:autoSpaceDN w:val="0"/>
        <w:adjustRightInd w:val="0"/>
      </w:pPr>
      <w:r>
        <w:t xml:space="preserve">Pupils then need to practise similar calculations. Use the target board on </w:t>
      </w:r>
      <w:r>
        <w:rPr>
          <w:b/>
        </w:rPr>
        <w:t>OHT M3.2</w:t>
      </w:r>
      <w:r>
        <w:t xml:space="preserve">. These examples require the use of calculators. </w:t>
      </w:r>
    </w:p>
    <w:p>
      <w:pPr>
        <w:widowControl w:val="0"/>
        <w:autoSpaceDE w:val="0"/>
        <w:autoSpaceDN w:val="0"/>
        <w:adjustRightInd w:val="0"/>
      </w:pPr>
      <w:r>
        <w:t>For level 6 use questions from the Year 9 supplement of examples, page 77.</w:t>
      </w:r>
    </w:p>
    <w:p>
      <w:pPr>
        <w:pStyle w:val="3"/>
      </w:pPr>
      <w:r>
        <w:t>Plenary</w:t>
      </w:r>
      <w:r>
        <w:tab/>
      </w:r>
      <w:r>
        <w:t>15 minutes</w:t>
      </w:r>
    </w:p>
    <w:p>
      <w:pPr>
        <w:pStyle w:val="26"/>
      </w:pPr>
      <w:r>
        <w:rPr>
          <w:b/>
        </w:rPr>
        <w:t xml:space="preserve">By the end of the lesson </w:t>
      </w:r>
      <w:r>
        <w:br w:type="textWrapping"/>
      </w:r>
      <w:r>
        <w:t>pupils should be able to:</w:t>
      </w:r>
    </w:p>
    <w:p>
      <w:pPr>
        <w:pStyle w:val="27"/>
      </w:pPr>
      <w:r>
        <w:t>•</w:t>
      </w:r>
      <w:r>
        <w:tab/>
      </w:r>
      <w:r>
        <w:t>calculate percentages of quantities using a calculator</w:t>
      </w:r>
    </w:p>
    <w:p>
      <w:pPr>
        <w:pStyle w:val="27"/>
      </w:pPr>
      <w:r>
        <w:t>•</w:t>
      </w:r>
      <w:r>
        <w:tab/>
      </w:r>
      <w:r>
        <w:t>calculate percentage increases and decreases</w:t>
      </w:r>
    </w:p>
    <w:p>
      <w:pPr>
        <w:pStyle w:val="26"/>
      </w:pPr>
      <w:r>
        <w:t>Framework supplement of examples, page 77</w:t>
      </w:r>
      <w:r>
        <w:br w:type="textWrapping"/>
      </w:r>
      <w:r>
        <w:t>Levels 5 and 6</w:t>
      </w:r>
    </w:p>
    <w:p>
      <w:pPr>
        <w:widowControl w:val="0"/>
        <w:autoSpaceDE w:val="0"/>
        <w:autoSpaceDN w:val="0"/>
        <w:adjustRightInd w:val="0"/>
      </w:pPr>
      <w:r>
        <w:t>Discuss these problems:</w:t>
      </w:r>
    </w:p>
    <w:p>
      <w:pPr>
        <w:pStyle w:val="22"/>
      </w:pPr>
      <w:r>
        <w:rPr>
          <w:b/>
        </w:rPr>
        <w:t>Q</w:t>
      </w:r>
      <w:r>
        <w:tab/>
      </w:r>
      <w:r>
        <w:t xml:space="preserve">I start with £250 on January 1st. This increases by 10% on February 1st. How much do I then have? </w:t>
      </w:r>
      <w:r>
        <w:br w:type="textWrapping"/>
      </w:r>
      <w:r>
        <w:t>This further increases by 10% on March 1st. How much have I now?</w:t>
      </w:r>
    </w:p>
    <w:p>
      <w:pPr>
        <w:pStyle w:val="22"/>
      </w:pPr>
      <w:r>
        <w:rPr>
          <w:b/>
        </w:rPr>
        <w:t>Q</w:t>
      </w:r>
      <w:r>
        <w:tab/>
      </w:r>
      <w:r>
        <w:t>I start with £250 on January 1st. This increases by 20% on March 1st. Is this the same result as before?</w:t>
      </w:r>
    </w:p>
    <w:p>
      <w:pPr>
        <w:widowControl w:val="0"/>
        <w:autoSpaceDE w:val="0"/>
        <w:autoSpaceDN w:val="0"/>
        <w:adjustRightInd w:val="0"/>
      </w:pPr>
      <w:r>
        <w:t>Discuss how a 10% increase followed by another 10% increase is not the same as a 20% increase. Go on to illustrate how a 20% increase + 20% increase is not the same as a 40% increase.</w:t>
      </w:r>
    </w:p>
    <w:p>
      <w:pPr>
        <w:pStyle w:val="2"/>
      </w:pPr>
      <w:r>
        <w:t>Percentage target board 1</w:t>
      </w:r>
      <w:r>
        <w:tab/>
      </w:r>
      <w:r>
        <w:tab/>
      </w:r>
      <w:r>
        <w:t>M3.1</w:t>
      </w:r>
      <w:r>
        <w:br w:type="textWrapping"/>
      </w:r>
    </w:p>
    <w:p/>
    <w:tbl>
      <w:tblPr>
        <w:tblStyle w:val="18"/>
        <w:tblW w:w="7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509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509" w:type="dxa"/>
            <w:noWrap w:val="0"/>
            <w:vAlign w:val="top"/>
          </w:tcPr>
          <w:p>
            <w:pPr>
              <w:pStyle w:val="31"/>
              <w:jc w:val="center"/>
            </w:pPr>
            <w:r>
              <w:t>Increase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31"/>
              <w:jc w:val="center"/>
            </w:pPr>
            <w:r>
              <w:t>Decrease</w:t>
            </w:r>
          </w:p>
        </w:tc>
      </w:tr>
    </w:tbl>
    <w:p>
      <w:pPr>
        <w:pStyle w:val="31"/>
        <w:jc w:val="center"/>
      </w:pPr>
    </w:p>
    <w:tbl>
      <w:tblPr>
        <w:tblStyle w:val="18"/>
        <w:tblW w:w="7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509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09" w:type="dxa"/>
            <w:noWrap w:val="0"/>
            <w:vAlign w:val="top"/>
          </w:tcPr>
          <w:p>
            <w:pPr>
              <w:pStyle w:val="31"/>
              <w:jc w:val="center"/>
            </w:pPr>
            <w:r>
              <w:t>£40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31"/>
              <w:jc w:val="center"/>
            </w:pPr>
            <w:r>
              <w:t>70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509" w:type="dxa"/>
            <w:noWrap w:val="0"/>
            <w:vAlign w:val="top"/>
          </w:tcPr>
          <w:p>
            <w:pPr>
              <w:pStyle w:val="31"/>
              <w:jc w:val="center"/>
            </w:pPr>
            <w:r>
              <w:t>300 g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31"/>
              <w:jc w:val="center"/>
            </w:pPr>
            <w:r>
              <w:t>1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09" w:type="dxa"/>
            <w:noWrap w:val="0"/>
            <w:vAlign w:val="top"/>
          </w:tcPr>
          <w:p>
            <w:pPr>
              <w:pStyle w:val="31"/>
              <w:jc w:val="center"/>
            </w:pPr>
            <w:r>
              <w:t>£12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31"/>
              <w:jc w:val="center"/>
            </w:pPr>
            <w:r>
              <w:t>650 m</w:t>
            </w:r>
          </w:p>
        </w:tc>
      </w:tr>
    </w:tbl>
    <w:p>
      <w:pPr>
        <w:pStyle w:val="31"/>
        <w:jc w:val="center"/>
      </w:pPr>
      <w:r>
        <w:t>by</w:t>
      </w:r>
    </w:p>
    <w:tbl>
      <w:tblPr>
        <w:tblStyle w:val="18"/>
        <w:tblW w:w="7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03"/>
        <w:gridCol w:w="1404"/>
        <w:gridCol w:w="1404"/>
        <w:gridCol w:w="140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>
            <w:pPr>
              <w:pStyle w:val="31"/>
              <w:jc w:val="center"/>
            </w:pPr>
            <w:r>
              <w:t>10%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pStyle w:val="31"/>
              <w:jc w:val="center"/>
            </w:pPr>
            <w:r>
              <w:t>15%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pStyle w:val="31"/>
              <w:jc w:val="center"/>
            </w:pPr>
            <w:r>
              <w:t>100%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pStyle w:val="31"/>
              <w:jc w:val="center"/>
            </w:pPr>
            <w:r>
              <w:t>35%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pStyle w:val="31"/>
              <w:jc w:val="center"/>
            </w:pPr>
            <w:r>
              <w:t>12.5%</w:t>
            </w:r>
          </w:p>
        </w:tc>
      </w:tr>
    </w:tbl>
    <w:p>
      <w:pPr>
        <w:pStyle w:val="31"/>
        <w:jc w:val="center"/>
      </w:pPr>
    </w:p>
    <w:p>
      <w:pPr>
        <w:pStyle w:val="2"/>
      </w:pPr>
      <w:r>
        <w:t>Percentage target board 2</w:t>
      </w:r>
      <w:r>
        <w:tab/>
      </w:r>
      <w:r>
        <w:tab/>
      </w:r>
      <w:r>
        <w:t>M3.2</w:t>
      </w:r>
      <w:r>
        <w:br w:type="textWrapping"/>
      </w:r>
    </w:p>
    <w:p/>
    <w:tbl>
      <w:tblPr>
        <w:tblStyle w:val="18"/>
        <w:tblW w:w="70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509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09" w:type="dxa"/>
            <w:noWrap w:val="0"/>
            <w:vAlign w:val="top"/>
          </w:tcPr>
          <w:p>
            <w:pPr>
              <w:pStyle w:val="31"/>
              <w:jc w:val="center"/>
            </w:pPr>
            <w:r>
              <w:t>Increase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31"/>
              <w:jc w:val="center"/>
            </w:pPr>
            <w:r>
              <w:t>Decrease</w:t>
            </w:r>
          </w:p>
        </w:tc>
      </w:tr>
    </w:tbl>
    <w:p>
      <w:pPr>
        <w:pStyle w:val="31"/>
        <w:jc w:val="center"/>
      </w:pPr>
    </w:p>
    <w:tbl>
      <w:tblPr>
        <w:tblStyle w:val="18"/>
        <w:tblW w:w="7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509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09" w:type="dxa"/>
            <w:noWrap w:val="0"/>
            <w:vAlign w:val="top"/>
          </w:tcPr>
          <w:p>
            <w:pPr>
              <w:pStyle w:val="31"/>
              <w:jc w:val="center"/>
            </w:pPr>
            <w:r>
              <w:t>£70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31"/>
              <w:jc w:val="center"/>
            </w:pPr>
            <w:r>
              <w:t>83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509" w:type="dxa"/>
            <w:noWrap w:val="0"/>
            <w:vAlign w:val="top"/>
          </w:tcPr>
          <w:p>
            <w:pPr>
              <w:pStyle w:val="31"/>
              <w:jc w:val="center"/>
            </w:pPr>
            <w:r>
              <w:t>350 g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31"/>
              <w:jc w:val="center"/>
            </w:pPr>
            <w:r>
              <w:t>1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509" w:type="dxa"/>
            <w:noWrap w:val="0"/>
            <w:vAlign w:val="top"/>
          </w:tcPr>
          <w:p>
            <w:pPr>
              <w:pStyle w:val="31"/>
              <w:jc w:val="center"/>
            </w:pPr>
            <w:r>
              <w:t>£12.50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31"/>
              <w:jc w:val="center"/>
            </w:pPr>
            <w:r>
              <w:t>650 m</w:t>
            </w:r>
          </w:p>
        </w:tc>
      </w:tr>
    </w:tbl>
    <w:p>
      <w:pPr>
        <w:pStyle w:val="31"/>
        <w:jc w:val="center"/>
      </w:pPr>
      <w:r>
        <w:t>by</w:t>
      </w:r>
    </w:p>
    <w:tbl>
      <w:tblPr>
        <w:tblStyle w:val="18"/>
        <w:tblW w:w="7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03"/>
        <w:gridCol w:w="1404"/>
        <w:gridCol w:w="1404"/>
        <w:gridCol w:w="140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03" w:type="dxa"/>
            <w:noWrap w:val="0"/>
            <w:vAlign w:val="top"/>
          </w:tcPr>
          <w:p>
            <w:pPr>
              <w:pStyle w:val="31"/>
              <w:jc w:val="center"/>
            </w:pPr>
            <w:r>
              <w:t>11%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pStyle w:val="31"/>
              <w:jc w:val="center"/>
            </w:pPr>
            <w:r>
              <w:t>17%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pStyle w:val="31"/>
              <w:jc w:val="center"/>
            </w:pPr>
            <w:r>
              <w:t>120%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pStyle w:val="31"/>
              <w:jc w:val="center"/>
            </w:pPr>
            <w:r>
              <w:t>38%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pStyle w:val="31"/>
              <w:jc w:val="center"/>
            </w:pPr>
            <w:r>
              <w:t>16.5%</w:t>
            </w:r>
          </w:p>
        </w:tc>
      </w:tr>
    </w:tbl>
    <w:p>
      <w:pPr>
        <w:pStyle w:val="31"/>
        <w:jc w:val="center"/>
      </w:pPr>
    </w:p>
    <w:p>
      <w:pPr>
        <w:widowControl w:val="0"/>
        <w:autoSpaceDE w:val="0"/>
        <w:autoSpaceDN w:val="0"/>
        <w:adjustRightInd w:val="0"/>
      </w:pPr>
    </w:p>
    <w:sectPr>
      <w:footerReference r:id="rId3" w:type="default"/>
      <w:footnotePr>
        <w:numFmt w:val="decimal"/>
      </w:footnotePr>
      <w:pgSz w:w="11906" w:h="16838"/>
      <w:pgMar w:top="567" w:right="1134" w:bottom="1418" w:left="3969" w:header="0" w:footer="425" w:gutter="0"/>
      <w:lnNumType w:countBy="0" w:distance="32769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 Narrow">
    <w:altName w:val="Times New Roman"/>
    <w:panose1 w:val="020B0506020202030204"/>
    <w:charset w:val="00"/>
    <w:family w:val="swiss"/>
    <w:pitch w:val="default"/>
    <w:sig w:usb0="00000287" w:usb1="00000000" w:usb2="00000000" w:usb3="00000000" w:csb0="0000009F" w:csb1="00000000"/>
  </w:font>
  <w:font w:name="Helvetica">
    <w:altName w:val="Arial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Times">
    <w:altName w:val="DejaVu Sans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536"/>
        <w:tab w:val="right" w:pos="9072"/>
      </w:tabs>
    </w:pPr>
    <w:r>
      <w:t>Year 9 booster kit: mathematics (lesson 3)</w:t>
    </w:r>
    <w:r>
      <w:tab/>
    </w:r>
    <w:r>
      <w:t>© Crown copyright 2002</w:t>
    </w:r>
    <w: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lang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567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BE7A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unhideWhenUsed="0" w:uiPriority="6" w:semiHidden="0" w:name="heading 4"/>
    <w:lsdException w:unhideWhenUsed="0" w:uiPriority="6" w:semiHidden="0" w:name="heading 5"/>
    <w:lsdException w:unhideWhenUsed="0" w:uiPriority="6" w:semiHidden="0" w:name="heading 6"/>
    <w:lsdException w:unhideWhenUsed="0" w:uiPriority="6" w:semiHidden="0" w:name="heading 7"/>
    <w:lsdException w:unhideWhenUsed="0" w:uiPriority="6" w:semiHidden="0" w:name="heading 8"/>
    <w:lsdException w:unhideWhenUsed="0" w:uiPriority="6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4" w:semiHidden="0" w:name="toc 1"/>
    <w:lsdException w:unhideWhenUsed="0" w:uiPriority="4" w:semiHidden="0" w:name="toc 2"/>
    <w:lsdException w:unhideWhenUsed="0" w:uiPriority="4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spacing w:before="30" w:after="30" w:line="240" w:lineRule="atLeast"/>
    </w:pPr>
    <w:rPr>
      <w:rFonts w:ascii="Helvetica" w:hAnsi="Helvetica" w:eastAsia="Times"/>
      <w:kern w:val="28"/>
      <w:sz w:val="18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pageBreakBefore/>
      <w:tabs>
        <w:tab w:val="left" w:pos="2880"/>
        <w:tab w:val="right" w:pos="6960"/>
      </w:tabs>
      <w:spacing w:before="0" w:after="0" w:line="240" w:lineRule="auto"/>
      <w:ind w:hanging="2835"/>
      <w:outlineLvl w:val="0"/>
    </w:pPr>
    <w:rPr>
      <w:b/>
      <w:sz w:val="36"/>
    </w:rPr>
  </w:style>
  <w:style w:type="paragraph" w:styleId="3">
    <w:name w:val="heading 2"/>
    <w:basedOn w:val="1"/>
    <w:next w:val="1"/>
    <w:uiPriority w:val="6"/>
    <w:pPr>
      <w:keepNext/>
      <w:tabs>
        <w:tab w:val="right" w:pos="6804"/>
      </w:tabs>
      <w:spacing w:before="240" w:after="120" w:line="240" w:lineRule="auto"/>
      <w:outlineLvl w:val="1"/>
    </w:pPr>
    <w:rPr>
      <w:b/>
      <w:sz w:val="24"/>
    </w:rPr>
  </w:style>
  <w:style w:type="paragraph" w:styleId="4">
    <w:name w:val="heading 3"/>
    <w:basedOn w:val="1"/>
    <w:next w:val="1"/>
    <w:uiPriority w:val="6"/>
    <w:pPr>
      <w:keepNext/>
      <w:tabs>
        <w:tab w:val="right" w:pos="6960"/>
      </w:tabs>
      <w:spacing w:before="120"/>
      <w:outlineLvl w:val="2"/>
    </w:pPr>
    <w:rPr>
      <w:b/>
    </w:rPr>
  </w:style>
  <w:style w:type="paragraph" w:styleId="5">
    <w:name w:val="heading 4"/>
    <w:basedOn w:val="1"/>
    <w:next w:val="1"/>
    <w:uiPriority w:val="6"/>
    <w:pPr>
      <w:keepNext/>
      <w:outlineLvl w:val="3"/>
    </w:pPr>
    <w:rPr>
      <w:b/>
    </w:rPr>
  </w:style>
  <w:style w:type="paragraph" w:styleId="6">
    <w:name w:val="heading 5"/>
    <w:basedOn w:val="1"/>
    <w:next w:val="1"/>
    <w:uiPriority w:val="6"/>
    <w:pPr>
      <w:keepNext/>
      <w:outlineLvl w:val="4"/>
    </w:pPr>
    <w:rPr>
      <w:sz w:val="36"/>
    </w:rPr>
  </w:style>
  <w:style w:type="paragraph" w:styleId="7">
    <w:name w:val="heading 6"/>
    <w:basedOn w:val="1"/>
    <w:next w:val="1"/>
    <w:uiPriority w:val="6"/>
    <w:pPr>
      <w:keepNext/>
      <w:outlineLvl w:val="5"/>
    </w:pPr>
    <w:rPr>
      <w:b/>
      <w:sz w:val="44"/>
    </w:rPr>
  </w:style>
  <w:style w:type="paragraph" w:styleId="8">
    <w:name w:val="heading 7"/>
    <w:basedOn w:val="1"/>
    <w:next w:val="1"/>
    <w:uiPriority w:val="6"/>
    <w:pPr>
      <w:keepNext/>
      <w:outlineLvl w:val="6"/>
    </w:pPr>
    <w:rPr>
      <w:b/>
      <w:sz w:val="28"/>
    </w:rPr>
  </w:style>
  <w:style w:type="paragraph" w:styleId="9">
    <w:name w:val="heading 8"/>
    <w:basedOn w:val="1"/>
    <w:next w:val="1"/>
    <w:uiPriority w:val="6"/>
    <w:pPr>
      <w:keepNext/>
      <w:spacing w:before="120" w:after="120"/>
      <w:jc w:val="right"/>
      <w:outlineLvl w:val="7"/>
    </w:pPr>
    <w:rPr>
      <w:sz w:val="32"/>
    </w:rPr>
  </w:style>
  <w:style w:type="paragraph" w:styleId="10">
    <w:name w:val="heading 9"/>
    <w:basedOn w:val="1"/>
    <w:next w:val="1"/>
    <w:uiPriority w:val="6"/>
    <w:pPr>
      <w:keepNext/>
      <w:jc w:val="right"/>
      <w:outlineLvl w:val="8"/>
    </w:pPr>
    <w:rPr>
      <w:b/>
      <w:sz w:val="32"/>
    </w:rPr>
  </w:style>
  <w:style w:type="character" w:default="1" w:styleId="16">
    <w:name w:val="Default Paragraph Font"/>
    <w:uiPriority w:val="6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6"/>
    <w:pPr>
      <w:tabs>
        <w:tab w:val="right" w:pos="6960"/>
      </w:tabs>
      <w:spacing w:before="30" w:after="30" w:line="200" w:lineRule="atLeast"/>
    </w:pPr>
    <w:rPr>
      <w:sz w:val="16"/>
    </w:rPr>
  </w:style>
  <w:style w:type="paragraph" w:styleId="12">
    <w:name w:val="header"/>
    <w:basedOn w:val="1"/>
    <w:uiPriority w:val="6"/>
    <w:pPr>
      <w:tabs>
        <w:tab w:val="center" w:pos="4153"/>
        <w:tab w:val="right" w:pos="8306"/>
      </w:tabs>
    </w:pPr>
  </w:style>
  <w:style w:type="paragraph" w:styleId="13">
    <w:name w:val="toc 1"/>
    <w:basedOn w:val="1"/>
    <w:next w:val="1"/>
    <w:uiPriority w:val="4"/>
  </w:style>
  <w:style w:type="paragraph" w:styleId="14">
    <w:name w:val="toc 2"/>
    <w:basedOn w:val="1"/>
    <w:next w:val="1"/>
    <w:uiPriority w:val="4"/>
    <w:pPr>
      <w:ind w:left="200"/>
    </w:pPr>
  </w:style>
  <w:style w:type="paragraph" w:styleId="15">
    <w:name w:val="toc 3"/>
    <w:basedOn w:val="1"/>
    <w:next w:val="1"/>
    <w:uiPriority w:val="4"/>
    <w:pPr>
      <w:ind w:left="400"/>
    </w:pPr>
  </w:style>
  <w:style w:type="character" w:styleId="17">
    <w:name w:val="page number"/>
    <w:basedOn w:val="16"/>
    <w:uiPriority w:val="6"/>
  </w:style>
  <w:style w:type="paragraph" w:customStyle="1" w:styleId="19">
    <w:name w:val="BH box head"/>
    <w:basedOn w:val="1"/>
    <w:uiPriority w:val="2"/>
    <w:pPr>
      <w:keepNext/>
      <w:keepLines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tabs>
        <w:tab w:val="left" w:pos="1080"/>
      </w:tabs>
    </w:pPr>
    <w:rPr>
      <w:b/>
    </w:rPr>
  </w:style>
  <w:style w:type="paragraph" w:customStyle="1" w:styleId="20">
    <w:name w:val="BL box list"/>
    <w:basedOn w:val="1"/>
    <w:uiPriority w:val="2"/>
    <w:pPr>
      <w:keepNext/>
      <w:keepLines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240" w:lineRule="atLeast"/>
      <w:ind w:left="360" w:hanging="360"/>
    </w:pPr>
  </w:style>
  <w:style w:type="paragraph" w:customStyle="1" w:styleId="21">
    <w:name w:val="BT box text"/>
    <w:basedOn w:val="20"/>
    <w:uiPriority w:val="2"/>
    <w:pPr>
      <w:tabs>
        <w:tab w:val="left" w:pos="1080"/>
      </w:tabs>
      <w:ind w:left="0" w:firstLine="0"/>
    </w:pPr>
  </w:style>
  <w:style w:type="paragraph" w:customStyle="1" w:styleId="22">
    <w:name w:val="LB bullet list"/>
    <w:basedOn w:val="1"/>
    <w:uiPriority w:val="2"/>
    <w:pPr>
      <w:spacing w:before="0"/>
      <w:ind w:left="284" w:hanging="284"/>
    </w:pPr>
  </w:style>
  <w:style w:type="paragraph" w:customStyle="1" w:styleId="23">
    <w:name w:val="LS sub list"/>
    <w:basedOn w:val="22"/>
    <w:uiPriority w:val="2"/>
    <w:pPr>
      <w:spacing w:before="0"/>
      <w:ind w:left="568"/>
    </w:pPr>
  </w:style>
  <w:style w:type="paragraph" w:customStyle="1" w:styleId="24">
    <w:name w:val="LU unnumbered list"/>
    <w:basedOn w:val="1"/>
    <w:uiPriority w:val="2"/>
    <w:pPr>
      <w:ind w:left="284"/>
    </w:pPr>
  </w:style>
  <w:style w:type="paragraph" w:customStyle="1" w:styleId="25">
    <w:name w:val="MH margin head"/>
    <w:basedOn w:val="26"/>
    <w:uiPriority w:val="2"/>
    <w:pPr>
      <w:tabs>
        <w:tab w:val="left" w:pos="284"/>
      </w:tabs>
      <w:spacing w:after="0"/>
    </w:pPr>
    <w:rPr>
      <w:b/>
    </w:rPr>
  </w:style>
  <w:style w:type="paragraph" w:customStyle="1" w:styleId="26">
    <w:name w:val="MT margin text"/>
    <w:basedOn w:val="1"/>
    <w:next w:val="1"/>
    <w:uiPriority w:val="2"/>
    <w:pPr>
      <w:keepLines/>
      <w:framePr w:w="2552" w:hSpace="181" w:vSpace="181" w:wrap="around" w:vAnchor="text" w:hAnchor="page" w:y="1"/>
      <w:tabs>
        <w:tab w:val="left" w:pos="284"/>
      </w:tabs>
    </w:pPr>
    <w:rPr>
      <w:rFonts w:eastAsia="Times New Roman"/>
      <w:kern w:val="0"/>
    </w:rPr>
  </w:style>
  <w:style w:type="paragraph" w:customStyle="1" w:styleId="27">
    <w:name w:val="ML margin list"/>
    <w:basedOn w:val="26"/>
    <w:uiPriority w:val="2"/>
    <w:pPr>
      <w:spacing w:before="0"/>
      <w:ind w:left="142" w:hanging="142"/>
    </w:pPr>
  </w:style>
  <w:style w:type="paragraph" w:customStyle="1" w:styleId="28">
    <w:name w:val="OH1 OHT head 1"/>
    <w:basedOn w:val="2"/>
    <w:uiPriority w:val="3"/>
    <w:pPr>
      <w:tabs>
        <w:tab w:val="right" w:pos="13680"/>
      </w:tabs>
      <w:spacing w:after="280"/>
      <w:ind w:left="2880"/>
    </w:pPr>
    <w:rPr>
      <w:lang w:val="en-US"/>
    </w:rPr>
  </w:style>
  <w:style w:type="paragraph" w:customStyle="1" w:styleId="29">
    <w:name w:val="OH2 OHT head 2"/>
    <w:basedOn w:val="3"/>
    <w:uiPriority w:val="3"/>
    <w:pPr>
      <w:spacing w:before="280" w:after="140"/>
      <w:ind w:left="-2835" w:right="-2835"/>
    </w:pPr>
  </w:style>
  <w:style w:type="paragraph" w:customStyle="1" w:styleId="30">
    <w:name w:val="OL OHT list"/>
    <w:basedOn w:val="22"/>
    <w:uiPriority w:val="2"/>
    <w:pPr>
      <w:spacing w:before="220" w:after="220" w:line="440" w:lineRule="atLeast"/>
      <w:ind w:left="-2340" w:right="2303" w:hanging="495"/>
    </w:pPr>
    <w:rPr>
      <w:sz w:val="36"/>
    </w:rPr>
  </w:style>
  <w:style w:type="paragraph" w:customStyle="1" w:styleId="31">
    <w:name w:val="OT OHT text"/>
    <w:basedOn w:val="1"/>
    <w:uiPriority w:val="2"/>
    <w:pPr>
      <w:widowControl w:val="0"/>
      <w:autoSpaceDE w:val="0"/>
      <w:autoSpaceDN w:val="0"/>
      <w:adjustRightInd w:val="0"/>
      <w:spacing w:before="220" w:after="220" w:line="440" w:lineRule="exact"/>
    </w:pPr>
    <w:rPr>
      <w:sz w:val="36"/>
    </w:rPr>
  </w:style>
  <w:style w:type="character" w:customStyle="1" w:styleId="32">
    <w:name w:val="AQ author query"/>
    <w:basedOn w:val="16"/>
    <w:uiPriority w:val="2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pc/maths-co-uk/co-uk/number/percentages/Mac%20G4:Applications:Microsoft%20Office%202001:Templates:My%20Templates:DfEE%20CR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DfEE CRC</Template>
  <Company>CfBT</Company>
  <Pages>3</Pages>
  <Words>514</Words>
  <Characters>2931</Characters>
  <Lines>24</Lines>
  <Paragraphs>5</Paragraphs>
  <TotalTime>0</TotalTime>
  <ScaleCrop>false</ScaleCrop>
  <LinksUpToDate>false</LinksUpToDate>
  <CharactersWithSpaces>3599</CharactersWithSpaces>
  <Application>WPS Office_11.1.0.8392_F1E327BC-269C-435d-A152-05C5408002CA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2002-04-12T14:19:00Z</dcterms:created>
  <dc:creator>Sue Glover</dc:creator>
  <cp:lastModifiedBy>mathssite.com</cp:lastModifiedBy>
  <cp:lastPrinted>2001-11-19T11:50:00Z</cp:lastPrinted>
  <dcterms:modified xsi:type="dcterms:W3CDTF">2019-04-19T20:29:16Z</dcterms:modified>
  <dc:title>Key Stage 3 Pilot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